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F1B0C" w:rsidRDefault="007F1B0C" w:rsidP="007F1B0C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1E1E1E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color w:val="1E1E1E"/>
          <w:sz w:val="28"/>
          <w:szCs w:val="28"/>
          <w:lang w:val="kk-KZ" w:eastAsia="ru-RU"/>
        </w:rPr>
        <w:t>ЛЕКЦИЯ 8</w:t>
      </w:r>
    </w:p>
    <w:p w:rsidR="007F1B0C" w:rsidRDefault="007F1B0C" w:rsidP="007F1B0C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1E1E1E"/>
          <w:sz w:val="28"/>
          <w:szCs w:val="28"/>
          <w:lang w:val="kk-KZ" w:eastAsia="ru-RU"/>
        </w:rPr>
      </w:pPr>
    </w:p>
    <w:p w:rsidR="00B212A6" w:rsidRPr="00B212A6" w:rsidRDefault="00B212A6" w:rsidP="007F1B0C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1E1E1E"/>
          <w:sz w:val="28"/>
          <w:szCs w:val="28"/>
          <w:lang w:val="kk-KZ" w:eastAsia="ru-RU"/>
        </w:rPr>
      </w:pPr>
      <w:r w:rsidRPr="00B212A6">
        <w:rPr>
          <w:rFonts w:ascii="Times New Roman" w:eastAsia="Times New Roman" w:hAnsi="Times New Roman" w:cs="Times New Roman"/>
          <w:color w:val="1E1E1E"/>
          <w:sz w:val="28"/>
          <w:szCs w:val="28"/>
          <w:lang w:val="kk-KZ" w:eastAsia="ru-RU"/>
        </w:rPr>
        <w:t>Алқаағаштың таксациялық көрсеткіштерін</w:t>
      </w:r>
      <w:r w:rsidRPr="00B212A6">
        <w:rPr>
          <w:rFonts w:ascii="Times New Roman" w:eastAsia="Times New Roman" w:hAnsi="Times New Roman" w:cs="Times New Roman"/>
          <w:color w:val="1E1E1E"/>
          <w:sz w:val="28"/>
          <w:szCs w:val="28"/>
          <w:lang w:val="kk-KZ" w:eastAsia="ru-RU"/>
        </w:rPr>
        <w:br/>
        <w:t>анықтау тәртібі, орман қорының басқа да жерлерінің сипаты</w:t>
      </w:r>
    </w:p>
    <w:p w:rsidR="00B212A6" w:rsidRPr="00B212A6" w:rsidRDefault="00B212A6" w:rsidP="007F1B0C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kk-KZ" w:eastAsia="ru-RU"/>
        </w:rPr>
      </w:pPr>
      <w:r w:rsidRPr="00B212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kk-KZ" w:eastAsia="ru-RU"/>
        </w:rPr>
        <w:t>      108. Алқаағаштарда таксация орман элементтері бойынша қабаттарға бөлініп, ал әртүрлі жасты алқаағаштарда - жас буыны бойынша жүргізіледі. Әр орман элементі үшін орташа жасы, биіктігі және диаметрі, ал пісіп келе жатқан, пісіп жетілген және көнерген алқаағаштарда-тауарлық класы анықталады. Таксациялық көрсеткіштердің нақтылығын анықтау Орман орналастыруды жүргізу нұсқаулығына берілген 1-қосымшадағы </w:t>
      </w:r>
      <w:hyperlink r:id="rId4" w:anchor="z1196" w:history="1">
        <w:r w:rsidRPr="007F1B0C">
          <w:rPr>
            <w:rFonts w:ascii="Times New Roman" w:eastAsia="Times New Roman" w:hAnsi="Times New Roman" w:cs="Times New Roman"/>
            <w:color w:val="073A5E"/>
            <w:spacing w:val="2"/>
            <w:sz w:val="28"/>
            <w:szCs w:val="28"/>
            <w:u w:val="single"/>
            <w:lang w:val="kk-KZ" w:eastAsia="ru-RU"/>
          </w:rPr>
          <w:t>8-кестеде</w:t>
        </w:r>
      </w:hyperlink>
      <w:r w:rsidRPr="00B212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kk-KZ" w:eastAsia="ru-RU"/>
        </w:rPr>
        <w:t> берілген.</w:t>
      </w:r>
    </w:p>
    <w:p w:rsidR="00B212A6" w:rsidRPr="00B212A6" w:rsidRDefault="00B212A6" w:rsidP="007F1B0C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kk-KZ" w:eastAsia="ru-RU"/>
        </w:rPr>
      </w:pPr>
      <w:r w:rsidRPr="00B212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kk-KZ" w:eastAsia="ru-RU"/>
        </w:rPr>
        <w:t>      109. Сүрекдіңнің қабатын бөлу төмендегідей жағдайда жүргізіледі:</w:t>
      </w:r>
    </w:p>
    <w:p w:rsidR="00B212A6" w:rsidRPr="00B212A6" w:rsidRDefault="00B212A6" w:rsidP="007F1B0C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kk-KZ" w:eastAsia="ru-RU"/>
        </w:rPr>
      </w:pPr>
      <w:r w:rsidRPr="00B212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kk-KZ" w:eastAsia="ru-RU"/>
        </w:rPr>
        <w:t>      1) әр қабаттың толымдылығы 0,3-тен кем емес (балауса ағаштарда - 0,4);</w:t>
      </w:r>
    </w:p>
    <w:p w:rsidR="00B212A6" w:rsidRPr="00B212A6" w:rsidRDefault="00B212A6" w:rsidP="007F1B0C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kk-KZ" w:eastAsia="ru-RU"/>
        </w:rPr>
      </w:pPr>
      <w:r w:rsidRPr="00B212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kk-KZ" w:eastAsia="ru-RU"/>
        </w:rPr>
        <w:t>      2) қабаттардың орташа биіктігіндегі айырма - жоғарғы қабаттың биіктігі 16 (он алты) метрге дейін болғанда 4 (төрт) метрден кем емес, жоғарғы қабаттың биіктігі 17-ден 25 (жиырма бес) метр дейін болғанда 5 (бес) метр және жоғарғы қабаттың биіктігі 26 (жиырма алты) метр және одан жоғары болғанда 6 (алты) метр.</w:t>
      </w:r>
    </w:p>
    <w:p w:rsidR="00B212A6" w:rsidRPr="00B212A6" w:rsidRDefault="00B212A6" w:rsidP="007F1B0C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kk-KZ" w:eastAsia="ru-RU"/>
        </w:rPr>
      </w:pPr>
      <w:r w:rsidRPr="00B212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kk-KZ" w:eastAsia="ru-RU"/>
        </w:rPr>
        <w:t>      Негізгі қабат болып 1 гектардағы қоры көбі есептеледі, ал қорлары тең болғанда - шаруашылық маңызы артығы негізгі болып табылады.</w:t>
      </w:r>
    </w:p>
    <w:p w:rsidR="00B212A6" w:rsidRPr="00B212A6" w:rsidRDefault="00B212A6" w:rsidP="007F1B0C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kk-KZ" w:eastAsia="ru-RU"/>
        </w:rPr>
      </w:pPr>
      <w:r w:rsidRPr="00B212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kk-KZ" w:eastAsia="ru-RU"/>
        </w:rPr>
        <w:t>      110. Қабаттарға бөлу мүмкін емес, әртүрлі жастағы сүрекдіңдер жас буыны бойынша таксацияланады.</w:t>
      </w:r>
    </w:p>
    <w:p w:rsidR="00B212A6" w:rsidRPr="00B212A6" w:rsidRDefault="00B212A6" w:rsidP="007F1B0C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kk-KZ" w:eastAsia="ru-RU"/>
        </w:rPr>
      </w:pPr>
      <w:r w:rsidRPr="00B212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kk-KZ" w:eastAsia="ru-RU"/>
        </w:rPr>
        <w:t>      Бір тұқымды сүрекдіңдерін буынға бөлу жас айырмашылығы 2 (екі) және одан көп жас класы болған жағдайда жүргізіледі:</w:t>
      </w:r>
    </w:p>
    <w:p w:rsidR="00B212A6" w:rsidRPr="00B212A6" w:rsidRDefault="00B212A6" w:rsidP="007F1B0C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kk-KZ" w:eastAsia="ru-RU"/>
        </w:rPr>
      </w:pPr>
      <w:r w:rsidRPr="00B212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kk-KZ" w:eastAsia="ru-RU"/>
        </w:rPr>
        <w:t>      Орташа диаметрінің айырмашылығы 4 (төрт) сантиметр кем емес, ал әр бір буынның еншісінің қоры 20 (жиырма) % кем емес.</w:t>
      </w:r>
    </w:p>
    <w:p w:rsidR="00B212A6" w:rsidRPr="00B212A6" w:rsidRDefault="00B212A6" w:rsidP="007F1B0C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kk-KZ" w:eastAsia="ru-RU"/>
        </w:rPr>
      </w:pPr>
      <w:r w:rsidRPr="00B212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kk-KZ" w:eastAsia="ru-RU"/>
        </w:rPr>
        <w:t>      Ағаш құрамындағы буын саны екі бірліктен кем болмаған жағдайда, олар бөлінеді. Буындардың басымдылығы болып сүрек қорының көп болғаны есептеледі.</w:t>
      </w:r>
    </w:p>
    <w:p w:rsidR="00B212A6" w:rsidRPr="00B212A6" w:rsidRDefault="00B212A6" w:rsidP="007F1B0C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kk-KZ" w:eastAsia="ru-RU"/>
        </w:rPr>
      </w:pPr>
      <w:r w:rsidRPr="00B212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kk-KZ" w:eastAsia="ru-RU"/>
        </w:rPr>
        <w:t>      Сүрекдіңдердің өсу аймағына байланысты буындарға бөлудің белгілері, өкілетті орган бекітетін қосымша, өңірлік ережелермен немесе техникалық нұсқаулармен анықталады.</w:t>
      </w:r>
    </w:p>
    <w:p w:rsidR="00B212A6" w:rsidRPr="00B212A6" w:rsidRDefault="00B212A6" w:rsidP="007F1B0C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kk-KZ" w:eastAsia="ru-RU"/>
        </w:rPr>
      </w:pPr>
      <w:r w:rsidRPr="00B212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kk-KZ" w:eastAsia="ru-RU"/>
        </w:rPr>
        <w:t>      111. Алқаағаштардың тұқымдық құрамы ағаш түрлері қорларының проценттік қатынасымен анықталады және Орман орналастыруды жүргізу нұсқаулығының </w:t>
      </w:r>
      <w:hyperlink r:id="rId5" w:anchor="z1653" w:history="1">
        <w:r w:rsidRPr="007F1B0C">
          <w:rPr>
            <w:rFonts w:ascii="Times New Roman" w:eastAsia="Times New Roman" w:hAnsi="Times New Roman" w:cs="Times New Roman"/>
            <w:color w:val="073A5E"/>
            <w:spacing w:val="2"/>
            <w:sz w:val="28"/>
            <w:szCs w:val="28"/>
            <w:u w:val="single"/>
            <w:lang w:val="kk-KZ" w:eastAsia="ru-RU"/>
          </w:rPr>
          <w:t>14-қосымшасына</w:t>
        </w:r>
      </w:hyperlink>
      <w:r w:rsidRPr="00B212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kk-KZ" w:eastAsia="ru-RU"/>
        </w:rPr>
        <w:t> сәйкес ағаш түрлерінің қысқаша атаулары келтірілген формуламен рәсімделеді. Сонымен қатар құрамындағы әрбір сүрек тұқымының үлесі ондық сан коэффициенті түрінде әрқайсысы жалпы қордың 10 (он) пайызына сәйкес.</w:t>
      </w:r>
    </w:p>
    <w:p w:rsidR="00B212A6" w:rsidRPr="00B212A6" w:rsidRDefault="00B212A6" w:rsidP="007F1B0C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kk-KZ" w:eastAsia="ru-RU"/>
        </w:rPr>
      </w:pPr>
      <w:r w:rsidRPr="00B212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kk-KZ" w:eastAsia="ru-RU"/>
        </w:rPr>
        <w:t>      Алқаағаштардың жалпы қорынан 3-5 (үш-бес) пайызы қор құрайтын ағаш түрлерінің құрам формуласына "+", ал 1-2 (бір-екі) пайызы "жеке" деп жазылады.</w:t>
      </w:r>
    </w:p>
    <w:p w:rsidR="00B212A6" w:rsidRPr="00B212A6" w:rsidRDefault="00B212A6" w:rsidP="007F1B0C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kk-KZ" w:eastAsia="ru-RU"/>
        </w:rPr>
      </w:pPr>
      <w:r w:rsidRPr="00B212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kk-KZ" w:eastAsia="ru-RU"/>
        </w:rPr>
        <w:t>      Бірінші жас класындағы балауса ағаштардың құрамы дің сандарының қатынасына байланысты анықталады.</w:t>
      </w:r>
    </w:p>
    <w:p w:rsidR="00B212A6" w:rsidRPr="00B212A6" w:rsidRDefault="00B212A6" w:rsidP="007F1B0C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kk-KZ" w:eastAsia="ru-RU"/>
        </w:rPr>
      </w:pPr>
      <w:r w:rsidRPr="00B212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kk-KZ" w:eastAsia="ru-RU"/>
        </w:rPr>
        <w:lastRenderedPageBreak/>
        <w:t>      112. Таксацияланатын алқаағаштарды негізгі орман құрайтын түрлердің қылқанды, қатты жапырақты немесе жұмсақ жапырақты тобына жатқызу және сүрекдіңнің басым түрін (қабатты) анықтау - таксацияның маңызды мақсаты болып табылады.</w:t>
      </w:r>
    </w:p>
    <w:p w:rsidR="00B212A6" w:rsidRPr="00B212A6" w:rsidRDefault="00B212A6" w:rsidP="007F1B0C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kk-KZ" w:eastAsia="ru-RU"/>
        </w:rPr>
      </w:pPr>
      <w:r w:rsidRPr="00B212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kk-KZ" w:eastAsia="ru-RU"/>
        </w:rPr>
        <w:t>      Егер сүрекдіңдердің құрамындағы ағаш түрлерінің саны 5 бірлік немесе одан көп болса (3Майқарағай 1Шырша 1Балқарағай 5Қайың), олар қылқанды (Нұсқаулықтың 113 пунктінде көрсетілген тұқымдардан басқа) алқаағаштарға жатқызылады. Балауса және екпе алқаағаштарда – 4 (төрт) бірліктен аз болмайды (3Майқарағай 1Шырша 6Қайың). Мұндай алқаағаштарда түр тобының құрамында ең үлкен коэффициенті бар ағаш түрі басым болып бірін орынға қойылады.</w:t>
      </w:r>
    </w:p>
    <w:p w:rsidR="00B212A6" w:rsidRPr="00B212A6" w:rsidRDefault="00B212A6" w:rsidP="007F1B0C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kk-KZ" w:eastAsia="ru-RU"/>
        </w:rPr>
      </w:pPr>
      <w:r w:rsidRPr="00B212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kk-KZ" w:eastAsia="ru-RU"/>
        </w:rPr>
        <w:t>      113. Егер самырсын, алма (Сиверс алмасы), жаңғақ (грек жаңғағы) ағаштарының барлық жас тобында олардың құрамын қатысу үлесі үш бірлік және одан көп болса (3 Самырсын 7 Қайың, 3Алма 4Қайың 3Көктерек) онда алқаағаштар самырсынды, алмалы, жаңғақты болып табылады.</w:t>
      </w:r>
    </w:p>
    <w:p w:rsidR="00B212A6" w:rsidRPr="00B212A6" w:rsidRDefault="00B212A6" w:rsidP="007F1B0C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kk-KZ" w:eastAsia="ru-RU"/>
        </w:rPr>
      </w:pPr>
      <w:r w:rsidRPr="00B212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kk-KZ" w:eastAsia="ru-RU"/>
        </w:rPr>
        <w:t>      Егер емен (өте әдемі емен), шаған (шарын шағаны), тораңғы ағаштарында олардың құрамына қатысу үлесі төрт бірлік және одан көп болса, ал балаусаларда – үш бірлік және одан көп болса (4Емен 6Қайың, 4Тораңғыл 6Терек, балаусаларда - 3Емен 7Қайың) онда алқаағаштар еменді шағанды, тораңғылы болып табылады.</w:t>
      </w:r>
    </w:p>
    <w:p w:rsidR="00B212A6" w:rsidRPr="00B212A6" w:rsidRDefault="00B212A6" w:rsidP="007F1B0C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kk-KZ" w:eastAsia="ru-RU"/>
        </w:rPr>
      </w:pPr>
      <w:r w:rsidRPr="00B212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kk-KZ" w:eastAsia="ru-RU"/>
        </w:rPr>
        <w:t>      114. Басқа жағдайлардың барлығында негізгі тұқым болып құрамында ең үлкен коэффициенті бар ағаш түрі саналады (5Қайың 4Майқарағай 1Терек, 4 Қайың 3Көктерек 2Майқарағай 1Т, 4Майқарағай 3 Қайың 3Көктерек).</w:t>
      </w:r>
    </w:p>
    <w:p w:rsidR="00B212A6" w:rsidRPr="00B212A6" w:rsidRDefault="00B212A6" w:rsidP="007F1B0C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kk-KZ" w:eastAsia="ru-RU"/>
        </w:rPr>
      </w:pPr>
      <w:r w:rsidRPr="00B212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kk-KZ" w:eastAsia="ru-RU"/>
        </w:rPr>
        <w:t>      115. Егер екі немесе одан көп ағаш түрлерінің қатысу үлесі бірдей болса, онда маңыздылығы басым тұқым басқасынан жоғары болып саналады (тұқымның маңыздылығының тізімі 1-ші орман орналастыру кеңесінде анықталады) (3Майқарағай 3 Қайың 3Көктерек 1Терек, 4 Қайың 4Көктерек 2Майқарағай, 5Ска 5Скқ).</w:t>
      </w:r>
    </w:p>
    <w:p w:rsidR="00B212A6" w:rsidRPr="00B212A6" w:rsidRDefault="00B212A6" w:rsidP="007F1B0C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kk-KZ" w:eastAsia="ru-RU"/>
        </w:rPr>
      </w:pPr>
      <w:r w:rsidRPr="00B212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kk-KZ" w:eastAsia="ru-RU"/>
        </w:rPr>
        <w:t>      116. Орташа жас алқаағаш құрамындағы әр тұқым түріне анықталады. Егер алқаағаштың, ағаш түрлерінің жастары бірдей немесе олардың жас айырмашылығы оны анықтау дәлдігінің шегінен аспаса, жасы жалпы алқаағаш бойынша анықталады.</w:t>
      </w:r>
    </w:p>
    <w:p w:rsidR="00B212A6" w:rsidRPr="00B212A6" w:rsidRDefault="00B212A6" w:rsidP="007F1B0C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kk-KZ" w:eastAsia="ru-RU"/>
        </w:rPr>
      </w:pPr>
      <w:r w:rsidRPr="00B212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kk-KZ" w:eastAsia="ru-RU"/>
        </w:rPr>
        <w:t>      Әртүрлі жастағы алқаағаштардың (егер буынға бөлу мүмкін емес немесе тиімсіз болса) орташа жасы сүрекдіңдегі басым түрдің жасы бойынша белгіленеді.</w:t>
      </w:r>
    </w:p>
    <w:p w:rsidR="00B212A6" w:rsidRPr="00B212A6" w:rsidRDefault="00B212A6" w:rsidP="007F1B0C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kk-KZ" w:eastAsia="ru-RU"/>
        </w:rPr>
      </w:pPr>
      <w:r w:rsidRPr="00B212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kk-KZ" w:eastAsia="ru-RU"/>
        </w:rPr>
        <w:t>      117. Бонитет класы Қазақстан ормандарын таксациялау нормативтерінде берілген шкала бойынша негізгі орман элементтерінің орташа жасы мен орташа биіктігі бойынша анықталады.</w:t>
      </w:r>
    </w:p>
    <w:p w:rsidR="00B212A6" w:rsidRPr="00B212A6" w:rsidRDefault="00B212A6" w:rsidP="007F1B0C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kk-KZ" w:eastAsia="ru-RU"/>
        </w:rPr>
      </w:pPr>
      <w:r w:rsidRPr="00B212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kk-KZ" w:eastAsia="ru-RU"/>
        </w:rPr>
        <w:t>      Он жасқа дейінгі балауса ағаштарда бонитет класы өсіп тұрған немесе ұштасып жатқан алқаағаштардың жер жағдайына байланысты белгіленеді.</w:t>
      </w:r>
    </w:p>
    <w:p w:rsidR="00B212A6" w:rsidRPr="00B212A6" w:rsidRDefault="00B212A6" w:rsidP="007F1B0C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kk-KZ" w:eastAsia="ru-RU"/>
        </w:rPr>
      </w:pPr>
      <w:r w:rsidRPr="00B212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kk-KZ" w:eastAsia="ru-RU"/>
        </w:rPr>
        <w:t xml:space="preserve">      Орташа биіктігі мен жасы бойынша анықталатын бонитет класы осы алқаағаш түріне берілген орман типіне сәйкес келмеген жағдайда, оның </w:t>
      </w:r>
      <w:r w:rsidRPr="00B212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kk-KZ" w:eastAsia="ru-RU"/>
        </w:rPr>
        <w:lastRenderedPageBreak/>
        <w:t>себебі (батпақтануы, құрғақтануы, өрт, орман зиянкестері және басқа) таксация карточкасында белгіленеді.</w:t>
      </w:r>
    </w:p>
    <w:p w:rsidR="00B212A6" w:rsidRPr="00B212A6" w:rsidRDefault="00B212A6" w:rsidP="007F1B0C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kk-KZ" w:eastAsia="ru-RU"/>
        </w:rPr>
      </w:pPr>
      <w:r w:rsidRPr="00B212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kk-KZ" w:eastAsia="ru-RU"/>
        </w:rPr>
        <w:t xml:space="preserve">      </w:t>
      </w:r>
    </w:p>
    <w:p w:rsidR="00B212A6" w:rsidRPr="00B212A6" w:rsidRDefault="00B212A6" w:rsidP="007F1B0C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kk-KZ" w:eastAsia="ru-RU"/>
        </w:rPr>
      </w:pPr>
      <w:r w:rsidRPr="00B212A6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val="kk-KZ" w:eastAsia="ru-RU"/>
        </w:rPr>
        <w:t xml:space="preserve">      </w:t>
      </w:r>
      <w:bookmarkStart w:id="0" w:name="_GoBack"/>
      <w:bookmarkEnd w:id="0"/>
    </w:p>
    <w:p w:rsidR="00AC3AE3" w:rsidRPr="007F1B0C" w:rsidRDefault="00AC3AE3" w:rsidP="007F1B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sectPr w:rsidR="00AC3AE3" w:rsidRPr="007F1B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0594"/>
    <w:rsid w:val="007F1B0C"/>
    <w:rsid w:val="00940594"/>
    <w:rsid w:val="00AC3AE3"/>
    <w:rsid w:val="00B212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5EC2031-3FB6-4D2F-B274-DA46300164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B212A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B212A6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B212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B212A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3276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adilet.zan.kz/kaz/docs/V1200008181" TargetMode="External"/><Relationship Id="rId4" Type="http://schemas.openxmlformats.org/officeDocument/2006/relationships/hyperlink" Target="https://adilet.zan.kz/kaz/docs/V1200008181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789</Words>
  <Characters>4500</Characters>
  <Application>Microsoft Office Word</Application>
  <DocSecurity>0</DocSecurity>
  <Lines>37</Lines>
  <Paragraphs>10</Paragraphs>
  <ScaleCrop>false</ScaleCrop>
  <Company/>
  <LinksUpToDate>false</LinksUpToDate>
  <CharactersWithSpaces>5279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3</cp:revision>
  <dcterms:created xsi:type="dcterms:W3CDTF">2024-10-20T13:28:00Z</dcterms:created>
  <dcterms:modified xsi:type="dcterms:W3CDTF">2024-10-20T13:30:00Z</dcterms:modified>
</cp:coreProperties>
</file>